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rFonts w:ascii="Georgia" w:cs="Georgia" w:eastAsia="Georgia" w:hAnsi="Georgia"/>
          <w:b/>
          <w:bCs/>
          <w:caps/>
          <w:color w:val="6b7f8f"/>
          <w:spacing w:val="30"/>
          <w:sz w:val="20"/>
          <w:szCs w:val="20"/>
        </w:rPr>
        <w:t xml:space="preserve">PERSOONLIJKE REFLECTIE &amp; DROOMANALYSE</w:t>
      </w:r>
    </w:p>
    <w:p>
      <w:pPr>
        <w:spacing w:after="60"/>
      </w:pPr>
      <w:r>
        <w:rPr>
          <w:rFonts w:ascii="Georgia" w:cs="Georgia" w:eastAsia="Georgia" w:hAnsi="Georgia"/>
          <w:b/>
          <w:bCs/>
          <w:color w:val="2f3b4c"/>
          <w:sz w:val="64"/>
          <w:szCs w:val="64"/>
        </w:rPr>
        <w:t xml:space="preserve">Jac de Tochon — De Rivierdroom en het Innerlijke Landschap</w:t>
      </w:r>
    </w:p>
    <w:p>
      <w:pPr>
        <w:spacing w:after="120"/>
      </w:pPr>
      <w:r>
        <w:rPr>
          <w:rFonts w:ascii="Georgia" w:cs="Georgia" w:eastAsia="Georgia" w:hAnsi="Georgia"/>
          <w:color w:val="999999"/>
          <w:sz w:val="28"/>
          <w:szCs w:val="28"/>
        </w:rPr>
        <w:t xml:space="preserve">Van archetypische duiding naar non-duale integratie</w:t>
      </w:r>
    </w:p>
    <w:p>
      <w:r>
        <w:br w:type="page"/>
      </w:r>
    </w:p>
    <w:p>
      <w:pPr>
        <w:pStyle w:val="DocHeading1"/>
      </w:pPr>
      <w:r>
        <w:rPr>
          <w:rFonts w:ascii="Georgia" w:cs="Georgia" w:eastAsia="Georgia" w:hAnsi="Georgia"/>
          <w:b/>
          <w:bCs/>
          <w:color w:val="2f3b4c"/>
          <w:sz w:val="38"/>
          <w:szCs w:val="38"/>
        </w:rPr>
        <w:t xml:space="preserve">De droom: de rivier en de naam</w:t>
      </w:r>
    </w:p>
    <w:p>
      <w:pPr>
        <w:pStyle w:val="DocBody"/>
      </w:pPr>
      <w:r>
        <w:rPr>
          <w:rFonts w:ascii="Georgia" w:cs="Georgia" w:eastAsia="Georgia" w:hAnsi="Georgia"/>
        </w:rPr>
        <w:t xml:space="preserve">De droom draaide om een naam — Jac de Tochon, ook wel Jac du Tochon — die verscheen in de vorm van een rivier. Etymologisch valt de naam uiteen in twee herkenbare delen: 'Jac' als verkorting van Jacob of Jacques, en 'Tochon' als variant op 'Touchon', een naam die klankmatig verwant is aan het Franse 'toucher' (aanraken) en aan het gevoel van een 'tocht' of doorgang. Symbolisch werd de rivier zelf gelezen als de stroom van het leven: voortdurend in beweging, soms rustig, soms te hoog om zonder risico over te steken.</w:t>
      </w:r>
    </w:p>
    <w:p>
      <w:pPr>
        <w:pStyle w:val="DocBody"/>
      </w:pPr>
      <w:r>
        <w:rPr>
          <w:rFonts w:ascii="Georgia" w:cs="Georgia" w:eastAsia="Georgia" w:hAnsi="Georgia"/>
        </w:rPr>
        <w:t xml:space="preserve">In de droom was het water hoog. Een vrouwelijke figuur wilde oversteken en sprak de woorden 'du on', wat werd geïnterpreteerd als 'met jou'. Een mannelijke stem waarschuwde dat het water te hoog was om dat te wagen. Uiteindelijk werd niet de rivier doorwaad, maar een brug genomen terug naar een dorp, waar een persoon genaamd Nienke aanwezig was. Een tweede beeld in de droom was het leggen van een door regen schoongewassen pad dwars door de rivier.</w:t>
      </w:r>
    </w:p>
    <w:tbl>
      <w:tblPr>
        <w:tblW w:type="dxa" w:w="9026"/>
        <w:tblBorders>
          <w:top w:val="single" w:color="eaebed" w:sz="2"/>
          <w:left w:val="single" w:color="2f3b4c" w:sz="24"/>
          <w:bottom w:val="single" w:color="eaebed" w:sz="2"/>
          <w:right w:val="single" w:color="eaebed" w:sz="2"/>
          <w:insideH w:val="none" w:color="auto" w:sz="0"/>
          <w:insideV w:val="none" w:color="auto" w:sz="0"/>
        </w:tblBorders>
        <w:tblLayout w:type="fixed"/>
      </w:tblPr>
      <w:tblGrid>
        <w:gridCol w:w="9026"/>
      </w:tblGrid>
      <w:tr>
        <w:tc>
          <w:tcPr>
            <w:tcW w:type="dxa" w:w="9026"/>
            <w:shd w:fill="eaebed" w:color="eaebed" w:val="solid"/>
            <w:tcMar>
              <w:top w:type="dxa" w:w="120"/>
              <w:left w:type="dxa" w:w="180"/>
              <w:bottom w:type="dxa" w:w="120"/>
              <w:right w:type="dxa" w:w="180"/>
            </w:tcMar>
          </w:tcPr>
          <w:p>
            <w:pPr>
              <w:spacing w:after="60"/>
            </w:pPr>
            <w:r>
              <w:rPr>
                <w:rFonts w:ascii="Georgia" w:cs="Georgia" w:eastAsia="Georgia" w:hAnsi="Georgia"/>
                <w:b/>
                <w:bCs/>
                <w:caps/>
                <w:color w:val="2f3b4c"/>
                <w:spacing w:val="30"/>
                <w:sz w:val="20"/>
                <w:szCs w:val="20"/>
              </w:rPr>
              <w:t xml:space="preserve">VERBINDING MET DE WERKELIJKHEID</w:t>
            </w:r>
          </w:p>
          <w:p>
            <w:pPr>
              <w:spacing w:line="276"/>
            </w:pPr>
            <w:r>
              <w:rPr>
                <w:rFonts w:ascii="Georgia" w:cs="Georgia" w:eastAsia="Georgia" w:hAnsi="Georgia"/>
              </w:rPr>
              <w:t xml:space="preserve">Kort na de droom vroeg Nienke in het echte leven om een bijdrage aan de goede doelenorganisatie Kika. Het hoge water werd geduid als emotionele dissonantie; het schoongewassen pad als een gezuiverde levensrichting die zich aandiende.</w:t>
            </w:r>
          </w:p>
        </w:tc>
      </w:tr>
    </w:tbl>
    <w:p>
      <w:pPr>
        <w:pStyle w:val="DocDivider"/>
      </w:pPr>
    </w:p>
    <w:p>
      <w:pPr>
        <w:pStyle w:val="DocHeading1"/>
      </w:pPr>
      <w:r>
        <w:rPr>
          <w:rFonts w:ascii="Georgia" w:cs="Georgia" w:eastAsia="Georgia" w:hAnsi="Georgia"/>
          <w:b/>
          <w:bCs/>
          <w:color w:val="2f3b4c"/>
          <w:sz w:val="38"/>
          <w:szCs w:val="38"/>
        </w:rPr>
        <w:t xml:space="preserve">De archetypen: Wijze Oude Man en Anima</w:t>
      </w:r>
    </w:p>
    <w:p>
      <w:pPr>
        <w:pStyle w:val="DocBody"/>
      </w:pPr>
      <w:r>
        <w:rPr>
          <w:rFonts w:ascii="Georgia" w:cs="Georgia" w:eastAsia="Georgia" w:hAnsi="Georgia"/>
        </w:rPr>
        <w:t xml:space="preserve">De mannelijke stem in de droom werd niet geduid als de Persona (het sociale masker), maar als het Jungiaanse archetype van de Wijze Oude Man — een terugkerende, auditieve gids die zich ook buiten dromen laat horen. Deze stem is doorgaans beknopt en direct, en voelde in het begin ongewoon aan, maar wordt inmiddels ervaren als liefdevol ondanks een soms barse klank. De vergelijking die het best past: een goede vriend die zegt waar het op staat, niet uit onverschilligheid maar uit oprechte zorg.</w:t>
      </w:r>
    </w:p>
    <w:p>
      <w:pPr>
        <w:pStyle w:val="DocBody"/>
      </w:pPr>
      <w:r>
        <w:rPr>
          <w:rFonts w:ascii="Georgia" w:cs="Georgia" w:eastAsia="Georgia" w:hAnsi="Georgia"/>
        </w:rPr>
        <w:t xml:space="preserve">De vrouwelijke figuur werd geïdentificeerd als de Anima — de intuïtieve, verbindende kracht in de psyche. Deze wordt getypeerd als 'de vrouw met de duizend gezichten': ze klinkt telkens anders, wisselt van vorm, maar heeft een constante, herkenbaar vrouwelijke klankkleur en een liefdevolle toon. Dat beeld sluit nauw aan bij Jungs eigen beschrijving van de Anima als een figuur die zich nooit laat vastpinnen op één gedaante, omdat ze een samenstelling is van alle vrouwelijke kwaliteiten in het onbewuste — moeder, geliefde, muze, zieneres.</w:t>
      </w:r>
    </w:p>
    <w:p>
      <w:pPr>
        <w:pStyle w:val="DocHeading2"/>
      </w:pPr>
      <w:r>
        <w:rPr>
          <w:rFonts w:ascii="Georgia" w:cs="Georgia" w:eastAsia="Georgia" w:hAnsi="Georgia"/>
          <w:b/>
          <w:bCs/>
          <w:color w:val="2f3b4c"/>
          <w:sz w:val="30"/>
          <w:szCs w:val="30"/>
        </w:rPr>
        <w:t xml:space="preserve">Een asymmetrie tussen de twee stemmen</w:t>
      </w:r>
    </w:p>
    <w:p>
      <w:pPr>
        <w:pStyle w:val="DocBody"/>
      </w:pPr>
      <w:r>
        <w:rPr>
          <w:rFonts w:ascii="Georgia" w:cs="Georgia" w:eastAsia="Georgia" w:hAnsi="Georgia"/>
        </w:rPr>
        <w:t xml:space="preserve">Opvallend is het contrast in consistentie: de Wijze is stabiel van toon (bars-liefdevol, gestaag), terwijl de Anima wisselend van vorm is maar consistent van klankkleur (lief, vrouwelijk, herkenbaar). Dit wijst mogelijk op een structurele functie: de Wijze als een stabiele kern van onderscheidingsvermogen, en de Anima als het veranderlijke, relationele en gevoelsmatige deel dat zich telkens anders voordoet omdat verbinding nooit twee keer identiek is.</w:t>
      </w:r>
    </w:p>
    <w:p>
      <w:pPr>
        <w:pStyle w:val="DocHeading1"/>
      </w:pPr>
      <w:r>
        <w:rPr>
          <w:rFonts w:ascii="Georgia" w:cs="Georgia" w:eastAsia="Georgia" w:hAnsi="Georgia"/>
          <w:b/>
          <w:bCs/>
          <w:color w:val="2f3b4c"/>
          <w:sz w:val="38"/>
          <w:szCs w:val="38"/>
        </w:rPr>
        <w:t xml:space="preserve">De brug als integratie</w:t>
      </w:r>
    </w:p>
    <w:p>
      <w:pPr>
        <w:pStyle w:val="DocBody"/>
      </w:pPr>
      <w:r>
        <w:rPr>
          <w:rFonts w:ascii="Georgia" w:cs="Georgia" w:eastAsia="Georgia" w:hAnsi="Georgia"/>
        </w:rPr>
        <w:t xml:space="preserve">De keuze in de droom om niet de rivier over te steken maar de brug te nemen naar het dorp, werd geduid als een teken van integratie: een bewuste, gecontroleerde weg terug naar het centrum die emotie erkent zonder erdoor overspoeld te worden. De Wijze en de Anima vertegenwoordigen hierin geen strijd om gelijk, maar een innerlijke polariteit — behoedzaamheid tegenover verlangen naar verbinding — die in de droom via de brug een derde weg vond.</w:t>
      </w:r>
    </w:p>
    <w:p>
      <w:pPr>
        <w:pStyle w:val="DocHeading2"/>
      </w:pPr>
      <w:r>
        <w:rPr>
          <w:rFonts w:ascii="Georgia" w:cs="Georgia" w:eastAsia="Georgia" w:hAnsi="Georgia"/>
          <w:b/>
          <w:bCs/>
          <w:color w:val="2f3b4c"/>
          <w:sz w:val="30"/>
          <w:szCs w:val="30"/>
        </w:rPr>
        <w:t xml:space="preserve">Een tegenvoorbeeld: wanneer de Wijze meeging</w:t>
      </w:r>
    </w:p>
    <w:p>
      <w:pPr>
        <w:pStyle w:val="DocBody"/>
      </w:pPr>
      <w:r>
        <w:rPr>
          <w:rFonts w:ascii="Georgia" w:cs="Georgia" w:eastAsia="Georgia" w:hAnsi="Georgia"/>
        </w:rPr>
        <w:t xml:space="preserve">Er is ook een herinnering aan een moment waarin de dynamiek andersom verliep: de Anima gaf kritiek, en de Wijze volgde haar inzicht. Dit toont dat de Wijze niet star of dogmatisch is, maar responsief — hij weegt af en stemt bij wanneer de Anima met een scherper inzicht komt. Het laat ook zien dat de Anima niet louter gevoelsmatig is, maar ook een vorm van intuïtief oordeelsvermogen bezit dat door de Wijze wordt gerespecteerd. Dit maakt de vasthoudendheid van de Wijze in de rivierdroom des te betekenisvoller: als hij normaal kan meebewegen en dat hier niet deed, wijst dat op een waarschuwing die hij als niet-verhandelbaar beschouwde.</w:t>
      </w:r>
    </w:p>
    <w:p>
      <w:pPr>
        <w:pStyle w:val="DocDivider"/>
      </w:pPr>
    </w:p>
    <w:p>
      <w:pPr>
        <w:pStyle w:val="DocHeading1"/>
      </w:pPr>
      <w:r>
        <w:rPr>
          <w:rFonts w:ascii="Georgia" w:cs="Georgia" w:eastAsia="Georgia" w:hAnsi="Georgia"/>
          <w:b/>
          <w:bCs/>
          <w:color w:val="2f3b4c"/>
          <w:sz w:val="38"/>
          <w:szCs w:val="38"/>
        </w:rPr>
        <w:t xml:space="preserve">Non-dualiteit: voorbij hoger en lager zelf</w:t>
      </w:r>
    </w:p>
    <w:p>
      <w:pPr>
        <w:pStyle w:val="DocBody"/>
      </w:pPr>
      <w:r>
        <w:rPr>
          <w:rFonts w:ascii="Georgia" w:cs="Georgia" w:eastAsia="Georgia" w:hAnsi="Georgia"/>
        </w:rPr>
        <w:t xml:space="preserve">Een belangrijke wending in het gesprek was de vraag of termen als 'hoger zelf' en 'lager zelf' — vaak aan Jung toegeschreven — wel passen bij een non-duale opvatting van bewustzijn. Deze termen zijn in werkelijkheid niet Jungs eigen taal, maar zijn later toegevoegd via theosofische en New Age-invloeden. Jung zelf sprak over het Zelf als de totaliteit van de psyche — bewust én onbewust samen — niet als een hiërarchie van hoger en lager. Zijn tegenstellingen (bewust/onbewust, persona/schaduw, ego/Zelf) zijn bedoeld als compensatoir, niet als rangordelijk.</w:t>
      </w:r>
    </w:p>
    <w:p>
      <w:pPr>
        <w:pStyle w:val="DocBody"/>
      </w:pPr>
      <w:r>
        <w:rPr>
          <w:rFonts w:ascii="Georgia" w:cs="Georgia" w:eastAsia="Georgia" w:hAnsi="Georgia"/>
        </w:rPr>
        <w:t xml:space="preserve">Individuatie, het centrale proces in Jungs werk, is niet gericht op het verheffen van het ene deel boven het andere, maar op integratie: het samenbrengen van polen in een derde, transcendente functie die beide overstijgt zonder ze te elimineren. Dit sluit nauw aan bij een non-duale opvatting van bewustzijn als één ongedeeld veld.</w:t>
      </w:r>
    </w:p>
    <w:tbl>
      <w:tblPr>
        <w:tblW w:type="dxa" w:w="9026"/>
        <w:tblBorders>
          <w:top w:val="single" w:color="e9ecee" w:sz="2"/>
          <w:left w:val="single" w:color="6b7f8f" w:sz="24"/>
          <w:bottom w:val="single" w:color="e9ecee" w:sz="2"/>
          <w:right w:val="single" w:color="e9ecee" w:sz="2"/>
          <w:insideH w:val="none" w:color="auto" w:sz="0"/>
          <w:insideV w:val="none" w:color="auto" w:sz="0"/>
        </w:tblBorders>
        <w:tblLayout w:type="fixed"/>
      </w:tblPr>
      <w:tblGrid>
        <w:gridCol w:w="9026"/>
      </w:tblGrid>
      <w:tr>
        <w:tc>
          <w:tcPr>
            <w:tcW w:type="dxa" w:w="9026"/>
            <w:shd w:fill="e9ecee" w:color="e9ecee" w:val="solid"/>
            <w:tcMar>
              <w:top w:type="dxa" w:w="120"/>
              <w:left w:type="dxa" w:w="180"/>
              <w:bottom w:type="dxa" w:w="120"/>
              <w:right w:type="dxa" w:w="180"/>
            </w:tcMar>
          </w:tcPr>
          <w:p>
            <w:pPr>
              <w:spacing w:after="60"/>
            </w:pPr>
            <w:r>
              <w:rPr>
                <w:rFonts w:ascii="Georgia" w:cs="Georgia" w:eastAsia="Georgia" w:hAnsi="Georgia"/>
                <w:b/>
                <w:bCs/>
                <w:caps/>
                <w:color w:val="6b7f8f"/>
                <w:spacing w:val="30"/>
                <w:sz w:val="20"/>
                <w:szCs w:val="20"/>
              </w:rPr>
              <w:t xml:space="preserve">DE GOLF-METAFOOR</w:t>
            </w:r>
          </w:p>
          <w:p>
            <w:pPr>
              <w:spacing w:line="276"/>
            </w:pPr>
            <w:r>
              <w:rPr>
                <w:rFonts w:ascii="Georgia" w:cs="Georgia" w:eastAsia="Georgia" w:hAnsi="Georgia"/>
              </w:rPr>
              <w:t xml:space="preserve">Wijze en Anima zijn geen twee aparte wezens die om voorrang strijden, en ook geen hogere en lagere laag. Ze zijn twee functionele golfpatronen in hetzelfde water — verschillend van uitdrukking, maar niet verschillend van substantie. De oceaan is niet dualistisch omdat er golven van verschillende vorm op zitten; de golven zijn tijdelijke configuraties van wat fundamenteel één geheel is.</w:t>
            </w:r>
          </w:p>
        </w:tc>
      </w:tr>
    </w:tbl>
    <w:p>
      <w:pPr>
        <w:pStyle w:val="DocBody"/>
      </w:pPr>
      <w:r>
        <w:rPr>
          <w:rFonts w:ascii="Georgia" w:cs="Georgia" w:eastAsia="Georgia" w:hAnsi="Georgia"/>
        </w:rPr>
        <w:t xml:space="preserve">Toegepast op de eigen ervaring: de barse directheid van de Wijze en de wisselende gezichten van de Anima zijn geen twee delen die concurreren om gelijk, maar twee stijlen waarin bewustzijn zichzelf presenteert, afhankelijk van wat de situatie vraagt — soms scherpe onderscheiding, soms intuïtieve verbinding, en soms een vloeiende samensmelting van beide omdat het uiteindelijk dezelfde bron is.</w:t>
      </w:r>
    </w:p>
    <w:p>
      <w:pPr>
        <w:pStyle w:val="DocHeading1"/>
      </w:pPr>
      <w:r>
        <w:rPr>
          <w:rFonts w:ascii="Georgia" w:cs="Georgia" w:eastAsia="Georgia" w:hAnsi="Georgia"/>
          <w:b/>
          <w:bCs/>
          <w:color w:val="2f3b4c"/>
          <w:sz w:val="38"/>
          <w:szCs w:val="38"/>
        </w:rPr>
        <w:t xml:space="preserve">Samenvattend beeld</w:t>
      </w:r>
    </w:p>
    <w:p>
      <w:pPr>
        <w:pStyle w:val="DocBody"/>
      </w:pPr>
      <w:r>
        <w:rPr>
          <w:rFonts w:ascii="Georgia" w:cs="Georgia" w:eastAsia="Georgia" w:hAnsi="Georgia"/>
        </w:rPr>
        <w:t xml:space="preserve">De rivierdroom was, in dit licht bezien, niet een gevecht tussen twee gescheiden krachten, maar een moment waarin bewustzijn zelf twee registers gelijktijdig liet spreken — behoedzaamheid en verlangen — om een derde weg te vinden die geen van beide registers ontkende. Niet-hiërarchisch, maar wel gedifferentieerd: geen 'hoger' of 'lager', maar duidelijk verschillend van functie binnen één en dezelfde stroom.</w:t>
      </w:r>
    </w:p>
    <w:p>
      <w:pPr>
        <w:pStyle w:val="ListParagraph"/>
        <w:numPr>
          <w:ilvl w:val="0"/>
          <w:numId w:val="1"/>
        </w:numPr>
        <w:spacing w:after="60" w:line="276"/>
      </w:pPr>
      <w:r>
        <w:rPr>
          <w:rFonts w:ascii="Georgia" w:cs="Georgia" w:eastAsia="Georgia" w:hAnsi="Georgia"/>
        </w:rPr>
        <w:t xml:space="preserve">De rivier: de stroom van het leven, met hoog water als emotionele dissonantie</w:t>
      </w:r>
    </w:p>
    <w:p>
      <w:pPr>
        <w:pStyle w:val="ListParagraph"/>
        <w:numPr>
          <w:ilvl w:val="0"/>
          <w:numId w:val="1"/>
        </w:numPr>
        <w:spacing w:after="60" w:line="276"/>
      </w:pPr>
      <w:r>
        <w:rPr>
          <w:rFonts w:ascii="Georgia" w:cs="Georgia" w:eastAsia="Georgia" w:hAnsi="Georgia"/>
        </w:rPr>
        <w:t xml:space="preserve">De Wijze Oude Man: stabiele, directe innerlijke stem — liefdevol ondanks barsheid</w:t>
      </w:r>
    </w:p>
    <w:p>
      <w:pPr>
        <w:pStyle w:val="ListParagraph"/>
        <w:numPr>
          <w:ilvl w:val="0"/>
          <w:numId w:val="1"/>
        </w:numPr>
        <w:spacing w:after="60" w:line="276"/>
      </w:pPr>
      <w:r>
        <w:rPr>
          <w:rFonts w:ascii="Georgia" w:cs="Georgia" w:eastAsia="Georgia" w:hAnsi="Georgia"/>
        </w:rPr>
        <w:t xml:space="preserve">De Anima: 'de vrouw met de duizend gezichten' — wisselend van vorm, constant van klankkleur en liefde</w:t>
      </w:r>
    </w:p>
    <w:p>
      <w:pPr>
        <w:pStyle w:val="ListParagraph"/>
        <w:numPr>
          <w:ilvl w:val="0"/>
          <w:numId w:val="1"/>
        </w:numPr>
        <w:spacing w:after="60" w:line="276"/>
      </w:pPr>
      <w:r>
        <w:rPr>
          <w:rFonts w:ascii="Georgia" w:cs="Georgia" w:eastAsia="Georgia" w:hAnsi="Georgia"/>
        </w:rPr>
        <w:t xml:space="preserve">De brug: integratie — een bewuste weg terug naar het centrum zonder de emotie te ontkennen</w:t>
      </w:r>
    </w:p>
    <w:p>
      <w:pPr>
        <w:pStyle w:val="ListParagraph"/>
        <w:numPr>
          <w:ilvl w:val="0"/>
          <w:numId w:val="1"/>
        </w:numPr>
        <w:spacing w:after="60" w:line="276"/>
      </w:pPr>
      <w:r>
        <w:rPr>
          <w:rFonts w:ascii="Georgia" w:cs="Georgia" w:eastAsia="Georgia" w:hAnsi="Georgia"/>
        </w:rPr>
        <w:t xml:space="preserve">Non-dualiteit: geen hoger of lager zelf, maar één bewustzijnsveld dat zich vertakt in functionele stemmen</w:t>
      </w:r>
    </w:p>
    <w:tbl>
      <w:tblPr>
        <w:tblW w:type="dxa" w:w="9026"/>
        <w:tblBorders>
          <w:top w:val="single" w:color="f8e8e2" w:sz="2"/>
          <w:left w:val="single" w:color="C2410C" w:sz="24"/>
          <w:bottom w:val="single" w:color="f8e8e2" w:sz="2"/>
          <w:right w:val="single" w:color="f8e8e2" w:sz="2"/>
          <w:insideH w:val="none" w:color="auto" w:sz="0"/>
          <w:insideV w:val="none" w:color="auto" w:sz="0"/>
        </w:tblBorders>
        <w:tblLayout w:type="fixed"/>
      </w:tblPr>
      <w:tblGrid>
        <w:gridCol w:w="9026"/>
      </w:tblGrid>
      <w:tr>
        <w:tc>
          <w:tcPr>
            <w:tcW w:type="dxa" w:w="9026"/>
            <w:shd w:fill="f8e8e2" w:color="f8e8e2" w:val="solid"/>
            <w:tcMar>
              <w:top w:type="dxa" w:w="120"/>
              <w:left w:type="dxa" w:w="180"/>
              <w:bottom w:type="dxa" w:w="120"/>
              <w:right w:type="dxa" w:w="180"/>
            </w:tcMar>
          </w:tcPr>
          <w:p>
            <w:pPr>
              <w:spacing w:after="60"/>
            </w:pPr>
            <w:r>
              <w:rPr>
                <w:rFonts w:ascii="Georgia" w:cs="Georgia" w:eastAsia="Georgia" w:hAnsi="Georgia"/>
                <w:b/>
                <w:bCs/>
                <w:caps/>
                <w:color w:val="C2410C"/>
                <w:spacing w:val="30"/>
                <w:sz w:val="20"/>
                <w:szCs w:val="20"/>
              </w:rPr>
              <w:t xml:space="preserve">AANDACHTSPUNT VOOR VERDER ONDERZOEK</w:t>
            </w:r>
          </w:p>
          <w:p>
            <w:pPr>
              <w:spacing w:line="276"/>
            </w:pPr>
            <w:r>
              <w:rPr>
                <w:rFonts w:ascii="Georgia" w:cs="Georgia" w:eastAsia="Georgia" w:hAnsi="Georgia"/>
              </w:rPr>
              <w:t xml:space="preserve">Het zou waardevol zijn om te blijven observeren of momenten van harmonie tussen de Wijze en de Anima een herkenbaar patroon volgen — bijvoorbeeld of innerlijke overeenstemming steeds voorafgaat aan een bevestiging in de buitenwereld, of dat dit per situatie verschilt.</w:t>
            </w:r>
          </w:p>
        </w:tc>
      </w:tr>
    </w:tbl>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DocFooter"/>
    </w:pPr>
    <w:r>
      <w:rPr>
        <w:rFonts w:ascii="Georgia" w:cs="Georgia" w:eastAsia="Georgia" w:hAnsi="Georgia"/>
        <w:color w:val="999999"/>
        <w:sz w:val="20"/>
        <w:szCs w:val="20"/>
      </w:rPr>
      <w:t xml:space="preserve">Jac de Tochon — De Rivierdroom en het Innerlijke Landschap  ·  </w:t>
    </w:r>
    <w:r>
      <w:rPr>
        <w:rFonts w:ascii="Georgia" w:cs="Georgia" w:eastAsia="Georgia" w:hAnsi="Georgia"/>
        <w:color w:val="999999"/>
        <w:sz w:val="20"/>
        <w:szCs w:val="20"/>
      </w:rPr>
      <w:fldChar w:fldCharType="begin"/>
      <w:instrText xml:space="preserve">PAGE</w:instrText>
      <w:fldChar w:fldCharType="separate"/>
      <w:fldChar w:fldCharType="end"/>
    </w:r>
    <w:r>
      <w:rPr>
        <w:rFonts w:ascii="Georgia" w:cs="Georgia" w:eastAsia="Georgia" w:hAnsi="Georgia"/>
        <w:color w:val="999999"/>
        <w:sz w:val="20"/>
        <w:szCs w:val="20"/>
      </w:rPr>
      <w:t xml:space="preserve"> / </w:t>
    </w:r>
    <w:r>
      <w:rPr>
        <w:rFonts w:ascii="Georgia" w:cs="Georgia" w:eastAsia="Georgia" w:hAnsi="Georgia"/>
        <w:color w:val="999999"/>
        <w:sz w:val="20"/>
        <w:szCs w:val="20"/>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Georgia" w:cs="Georgia" w:eastAsia="Georgia" w:hAnsi="Georgia"/>
        <w:color w:val="999999"/>
        <w:sz w:val="20"/>
        <w:szCs w:val="20"/>
      </w:rPr>
      <w:t xml:space="preserve">Jac de Tochon — Droomreflectie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333333"/>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DocHeading1">
    <w:name w:val="Doc Heading 1"/>
    <w:basedOn w:val="Normal"/>
    <w:next w:val="Normal"/>
    <w:qFormat/>
    <w:pPr>
      <w:spacing w:after="200" w:before="200"/>
    </w:pPr>
  </w:style>
  <w:style w:type="paragraph" w:styleId="DocHeading2">
    <w:name w:val="Doc Heading 2"/>
    <w:basedOn w:val="Normal"/>
    <w:next w:val="Normal"/>
    <w:qFormat/>
    <w:pPr>
      <w:spacing w:after="120" w:before="120"/>
    </w:pPr>
  </w:style>
  <w:style w:type="paragraph" w:styleId="DocHeading3">
    <w:name w:val="Doc Heading 3"/>
    <w:basedOn w:val="Normal"/>
    <w:next w:val="Normal"/>
    <w:qFormat/>
    <w:pPr>
      <w:spacing w:after="120" w:before="120"/>
    </w:pPr>
  </w:style>
  <w:style w:type="paragraph" w:styleId="DocBody">
    <w:name w:val="Doc Body"/>
    <w:basedOn w:val="Normal"/>
    <w:next w:val="DocBody"/>
    <w:qFormat/>
    <w:pPr>
      <w:spacing w:after="120" w:line="276"/>
    </w:pPr>
  </w:style>
  <w:style w:type="paragraph" w:styleId="DocDivider">
    <w:name w:val="Doc Divider"/>
    <w:basedOn w:val="Normal"/>
    <w:next w:val="DocBody"/>
    <w:qFormat/>
    <w:pPr>
      <w:pBdr>
        <w:bottom w:val="single" w:color="a1a7ae" w:sz="6" w:space="1"/>
      </w:pBdr>
      <w:spacing w:after="200" w:before="200"/>
    </w:pPr>
  </w:style>
  <w:style w:type="paragraph" w:styleId="DocFooter">
    <w:name w:val="Doc Footer"/>
    <w:basedOn w:val="Normal"/>
    <w:qFormat/>
    <w:pPr>
      <w:pBdr>
        <w:top w:val="single" w:color="a1a7ae" w:sz="4" w:space="6"/>
      </w:pBdr>
      <w:jc w:val="center"/>
    </w:p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2026-07-11T13:05:53.315Z</dcterms:created>
  <dcterms:modified xsi:type="dcterms:W3CDTF">2026-07-11T13:05:53.315Z</dcterms:modified>
</cp:coreProperties>
</file>

<file path=docProps/custom.xml><?xml version="1.0" encoding="utf-8"?>
<Properties xmlns="http://schemas.openxmlformats.org/officeDocument/2006/custom-properties" xmlns:vt="http://schemas.openxmlformats.org/officeDocument/2006/docPropsVTypes"/>
</file>